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742698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42698">
        <w:rPr>
          <w:rFonts w:ascii="Times New Roman" w:hAnsi="Times New Roman" w:cs="Times New Roman"/>
          <w:b/>
          <w:sz w:val="24"/>
          <w:szCs w:val="24"/>
          <w:u w:val="single"/>
        </w:rPr>
        <w:t>385</w:t>
      </w:r>
      <w:r w:rsidR="00FD2BC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742698" w:rsidRPr="00742698">
        <w:rPr>
          <w:rFonts w:ascii="Times New Roman" w:hAnsi="Times New Roman" w:cs="Times New Roman"/>
          <w:b/>
          <w:sz w:val="24"/>
          <w:szCs w:val="24"/>
          <w:u w:val="single"/>
        </w:rPr>
        <w:t>Закупка запасных частей для клапа</w:t>
      </w:r>
      <w:r w:rsidR="0074269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 и гидропневмоаккумуляторов </w:t>
      </w:r>
      <w:r w:rsidR="00742698" w:rsidRPr="00742698">
        <w:rPr>
          <w:rFonts w:ascii="Times New Roman" w:hAnsi="Times New Roman" w:cs="Times New Roman"/>
          <w:b/>
          <w:sz w:val="24"/>
          <w:szCs w:val="24"/>
          <w:u w:val="single"/>
        </w:rPr>
        <w:t>для КТК-Р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1A5">
        <w:rPr>
          <w:rFonts w:ascii="Times New Roman" w:hAnsi="Times New Roman" w:cs="Times New Roman"/>
          <w:b/>
          <w:sz w:val="24"/>
          <w:szCs w:val="24"/>
        </w:rPr>
        <w:t>/</w:t>
      </w:r>
      <w:r w:rsidR="001671A5" w:rsidRPr="001671A5">
        <w:t xml:space="preserve">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Purchase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spare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parts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valves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hydropneumatic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accumulators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CPC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>-</w:t>
      </w:r>
      <w:r w:rsidR="00742698" w:rsidRPr="0074269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  <w:highlight w:val="yellow"/>
          </w:rPr>
          <w:t>Secretary.CPCTenderBoard@cpcpipe.ru</w:t>
        </w:r>
      </w:hyperlink>
      <w:r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(копия</w:t>
      </w:r>
      <w:r w:rsidR="00747A00" w:rsidRPr="00EF4CEC">
        <w:rPr>
          <w:highlight w:val="yellow"/>
        </w:rPr>
        <w:t xml:space="preserve"> </w:t>
      </w:r>
      <w:r w:rsidR="005C16A0" w:rsidRPr="00EF4CEC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Andrey.Luganskiy@cpcpipe.ru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64C37" w:rsidRPr="00B64C37">
        <w:rPr>
          <w:rFonts w:ascii="Times New Roman" w:hAnsi="Times New Roman" w:cs="Times New Roman"/>
          <w:b/>
          <w:sz w:val="24"/>
          <w:szCs w:val="24"/>
          <w:u w:val="single"/>
        </w:rPr>
        <w:t>Россия, 115093, г. Москва, ул. Павловская, дом 7, строение 1</w:t>
      </w: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14004D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Критерии оценки участников тендера/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Bidders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Evaluation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Criteria</w:t>
      </w:r>
      <w:r w:rsidRPr="0014004D">
        <w:rPr>
          <w:rFonts w:ascii="Times New Roman" w:hAnsi="Times New Roman" w:cs="Times New Roman"/>
          <w:b/>
          <w:sz w:val="24"/>
          <w:szCs w:val="24"/>
        </w:rPr>
        <w:t>:</w:t>
      </w:r>
    </w:p>
    <w:p w:rsidR="000D5005" w:rsidRPr="00330DF8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D5005">
        <w:rPr>
          <w:rFonts w:ascii="Times New Roman" w:hAnsi="Times New Roman" w:cs="Times New Roman"/>
          <w:sz w:val="24"/>
          <w:szCs w:val="24"/>
        </w:rPr>
        <w:t>Наличие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опыта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работы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поставкам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</w:rPr>
        <w:t>импортной</w:t>
      </w:r>
      <w:r w:rsidR="001671A5" w:rsidRPr="00167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>
        <w:rPr>
          <w:rFonts w:ascii="Times New Roman" w:hAnsi="Times New Roman" w:cs="Times New Roman"/>
          <w:sz w:val="24"/>
          <w:szCs w:val="24"/>
        </w:rPr>
        <w:t>запорной</w:t>
      </w:r>
      <w:r w:rsidR="00FC663A" w:rsidRPr="00FC6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>
        <w:rPr>
          <w:rFonts w:ascii="Times New Roman" w:hAnsi="Times New Roman" w:cs="Times New Roman"/>
          <w:sz w:val="24"/>
          <w:szCs w:val="24"/>
        </w:rPr>
        <w:t>арматуры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exper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ience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671A5" w:rsidRPr="001671A5">
        <w:rPr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imported</w:t>
      </w:r>
      <w:r w:rsid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1B5">
        <w:rPr>
          <w:rFonts w:ascii="Times New Roman" w:hAnsi="Times New Roman" w:cs="Times New Roman"/>
          <w:sz w:val="24"/>
          <w:szCs w:val="24"/>
          <w:lang w:val="en-US"/>
        </w:rPr>
        <w:t>ball valves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5005" w:rsidRPr="00742698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555A">
        <w:rPr>
          <w:rFonts w:ascii="Times New Roman" w:hAnsi="Times New Roman" w:cs="Times New Roman"/>
          <w:sz w:val="24"/>
          <w:szCs w:val="24"/>
        </w:rPr>
        <w:t xml:space="preserve">.  </w:t>
      </w:r>
      <w:r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должен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являться</w:t>
      </w:r>
      <w:r w:rsidR="00742698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авторизованным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</w:rPr>
        <w:t>представителем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производителя</w:t>
      </w:r>
      <w:r w:rsidR="003163FC" w:rsidRPr="003163FC">
        <w:rPr>
          <w:rFonts w:ascii="Times New Roman" w:hAnsi="Times New Roman" w:cs="Times New Roman"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sz w:val="24"/>
          <w:szCs w:val="24"/>
        </w:rPr>
        <w:t>M&amp;J valve SPX Flow Technology</w:t>
      </w:r>
      <w:r w:rsidR="001671A5">
        <w:rPr>
          <w:rFonts w:ascii="Times New Roman" w:hAnsi="Times New Roman" w:cs="Times New Roman"/>
          <w:sz w:val="24"/>
          <w:szCs w:val="24"/>
        </w:rPr>
        <w:t>.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="00FD2BC4" w:rsidRPr="00FD2BC4">
        <w:rPr>
          <w:rFonts w:ascii="Times New Roman" w:hAnsi="Times New Roman" w:cs="Times New Roman"/>
          <w:sz w:val="24"/>
          <w:szCs w:val="24"/>
          <w:u w:val="single"/>
        </w:rPr>
        <w:t>Обязательное условие-</w:t>
      </w:r>
      <w:r w:rsidR="001671A5" w:rsidRPr="00FD2BC4">
        <w:rPr>
          <w:rFonts w:ascii="Times New Roman" w:hAnsi="Times New Roman" w:cs="Times New Roman"/>
          <w:sz w:val="24"/>
          <w:szCs w:val="24"/>
          <w:u w:val="single"/>
        </w:rPr>
        <w:t xml:space="preserve"> предоставить автори</w:t>
      </w:r>
      <w:r w:rsidR="00742698">
        <w:rPr>
          <w:rFonts w:ascii="Times New Roman" w:hAnsi="Times New Roman" w:cs="Times New Roman"/>
          <w:sz w:val="24"/>
          <w:szCs w:val="24"/>
          <w:u w:val="single"/>
        </w:rPr>
        <w:t>зационное письмо в составе тенде</w:t>
      </w:r>
      <w:r w:rsidR="001671A5" w:rsidRPr="00FD2BC4">
        <w:rPr>
          <w:rFonts w:ascii="Times New Roman" w:hAnsi="Times New Roman" w:cs="Times New Roman"/>
          <w:sz w:val="24"/>
          <w:szCs w:val="24"/>
          <w:u w:val="single"/>
        </w:rPr>
        <w:t>рного предложения</w:t>
      </w:r>
      <w:r w:rsidR="00FD2BC4">
        <w:rPr>
          <w:rFonts w:ascii="Times New Roman" w:hAnsi="Times New Roman" w:cs="Times New Roman"/>
          <w:sz w:val="24"/>
          <w:szCs w:val="24"/>
          <w:u w:val="single"/>
        </w:rPr>
        <w:t>. В</w:t>
      </w:r>
      <w:r w:rsidR="00FD2BC4" w:rsidRPr="00FD2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2BC4">
        <w:rPr>
          <w:rFonts w:ascii="Times New Roman" w:hAnsi="Times New Roman" w:cs="Times New Roman"/>
          <w:sz w:val="24"/>
          <w:szCs w:val="24"/>
          <w:u w:val="single"/>
        </w:rPr>
        <w:t>случае</w:t>
      </w:r>
      <w:r w:rsidR="00FD2BC4" w:rsidRPr="00FD2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2BC4">
        <w:rPr>
          <w:rFonts w:ascii="Times New Roman" w:hAnsi="Times New Roman" w:cs="Times New Roman"/>
          <w:sz w:val="24"/>
          <w:szCs w:val="24"/>
          <w:u w:val="single"/>
        </w:rPr>
        <w:t>отсутствия</w:t>
      </w:r>
      <w:r w:rsidR="00FD2BC4" w:rsidRPr="00FD2BC4">
        <w:rPr>
          <w:rFonts w:ascii="Times New Roman" w:hAnsi="Times New Roman" w:cs="Times New Roman"/>
          <w:sz w:val="24"/>
          <w:szCs w:val="24"/>
          <w:u w:val="single"/>
        </w:rPr>
        <w:t xml:space="preserve"> авторизационного письма, предложение участника </w:t>
      </w:r>
      <w:r w:rsidR="00742698">
        <w:rPr>
          <w:rFonts w:ascii="Times New Roman" w:hAnsi="Times New Roman" w:cs="Times New Roman"/>
          <w:sz w:val="24"/>
          <w:szCs w:val="24"/>
          <w:u w:val="single"/>
        </w:rPr>
        <w:t>может быть отклонено</w:t>
      </w:r>
      <w:r w:rsidR="0014004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671A5" w:rsidRPr="00FD2BC4">
        <w:rPr>
          <w:rFonts w:ascii="Times New Roman" w:hAnsi="Times New Roman" w:cs="Times New Roman"/>
          <w:sz w:val="24"/>
          <w:szCs w:val="24"/>
        </w:rPr>
        <w:t xml:space="preserve"> </w:t>
      </w:r>
      <w:r w:rsidRPr="00FD2BC4">
        <w:rPr>
          <w:rFonts w:ascii="Times New Roman" w:hAnsi="Times New Roman" w:cs="Times New Roman"/>
          <w:sz w:val="24"/>
          <w:szCs w:val="24"/>
        </w:rPr>
        <w:t xml:space="preserve">/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D2BC4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FD2BC4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D2BC4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D2BC4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authorized</w:t>
      </w:r>
      <w:r w:rsidRPr="00FD2BC4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dealer</w:t>
      </w:r>
      <w:r w:rsidRPr="00FD2BC4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D2BC4">
        <w:rPr>
          <w:rFonts w:ascii="Times New Roman" w:hAnsi="Times New Roman" w:cs="Times New Roman"/>
          <w:sz w:val="24"/>
          <w:szCs w:val="24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="003163FC" w:rsidRPr="003163FC">
        <w:t xml:space="preserve"> </w:t>
      </w:r>
      <w:r w:rsidR="00742698" w:rsidRPr="0074269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42698" w:rsidRPr="00742698">
        <w:rPr>
          <w:rFonts w:ascii="Times New Roman" w:hAnsi="Times New Roman" w:cs="Times New Roman"/>
          <w:sz w:val="24"/>
          <w:szCs w:val="24"/>
        </w:rPr>
        <w:t>&amp;</w:t>
      </w:r>
      <w:r w:rsidR="00742698" w:rsidRPr="0074269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742698" w:rsidRPr="00742698">
        <w:rPr>
          <w:rFonts w:ascii="Times New Roman" w:hAnsi="Times New Roman" w:cs="Times New Roman"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sz w:val="24"/>
          <w:szCs w:val="24"/>
          <w:lang w:val="en-US"/>
        </w:rPr>
        <w:t>valve</w:t>
      </w:r>
      <w:r w:rsidR="00742698" w:rsidRPr="00742698">
        <w:rPr>
          <w:rFonts w:ascii="Times New Roman" w:hAnsi="Times New Roman" w:cs="Times New Roman"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sz w:val="24"/>
          <w:szCs w:val="24"/>
          <w:lang w:val="en-US"/>
        </w:rPr>
        <w:t>SPX</w:t>
      </w:r>
      <w:r w:rsidR="00742698" w:rsidRPr="00742698">
        <w:rPr>
          <w:rFonts w:ascii="Times New Roman" w:hAnsi="Times New Roman" w:cs="Times New Roman"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sz w:val="24"/>
          <w:szCs w:val="24"/>
          <w:lang w:val="en-US"/>
        </w:rPr>
        <w:t>Flow</w:t>
      </w:r>
      <w:r w:rsidR="00742698" w:rsidRPr="00742698">
        <w:rPr>
          <w:rFonts w:ascii="Times New Roman" w:hAnsi="Times New Roman" w:cs="Times New Roman"/>
          <w:sz w:val="24"/>
          <w:szCs w:val="24"/>
        </w:rPr>
        <w:t xml:space="preserve"> </w:t>
      </w:r>
      <w:r w:rsidR="00742698" w:rsidRPr="00742698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FD2BC4">
        <w:rPr>
          <w:rFonts w:ascii="Times New Roman" w:hAnsi="Times New Roman" w:cs="Times New Roman"/>
          <w:sz w:val="24"/>
          <w:szCs w:val="24"/>
        </w:rPr>
        <w:t xml:space="preserve">. </w:t>
      </w:r>
      <w:r w:rsidR="001671A5" w:rsidRPr="001671A5">
        <w:rPr>
          <w:rFonts w:ascii="Times New Roman" w:hAnsi="Times New Roman" w:cs="Times New Roman"/>
          <w:sz w:val="24"/>
          <w:szCs w:val="24"/>
          <w:lang w:val="en-US"/>
        </w:rPr>
        <w:t>You must provide an authorization letter as part of the tender offer</w:t>
      </w:r>
      <w:r w:rsidR="0014004D" w:rsidRPr="0014004D">
        <w:rPr>
          <w:rFonts w:ascii="Times New Roman" w:hAnsi="Times New Roman" w:cs="Times New Roman"/>
          <w:sz w:val="24"/>
          <w:szCs w:val="24"/>
          <w:lang w:val="en-US"/>
        </w:rPr>
        <w:t>. In the absence of an authorization letter, the p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 xml:space="preserve">roposal of the participant will </w:t>
      </w:r>
      <w:r w:rsidR="00742698" w:rsidRPr="00742698">
        <w:rPr>
          <w:rFonts w:ascii="Times New Roman" w:hAnsi="Times New Roman" w:cs="Times New Roman"/>
          <w:sz w:val="24"/>
          <w:szCs w:val="24"/>
          <w:lang w:val="en-US"/>
        </w:rPr>
        <w:t xml:space="preserve">may be rejected. </w:t>
      </w:r>
    </w:p>
    <w:p w:rsidR="00FC663A" w:rsidRDefault="00FC663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D555A">
        <w:rPr>
          <w:rFonts w:ascii="Times New Roman" w:hAnsi="Times New Roman" w:cs="Times New Roman"/>
          <w:sz w:val="24"/>
          <w:szCs w:val="24"/>
        </w:rPr>
        <w:t>Для</w:t>
      </w:r>
      <w:r w:rsidR="004D555A"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технической</w:t>
      </w:r>
      <w:r w:rsidR="004D555A"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оценки</w:t>
      </w:r>
      <w:r w:rsidR="004D555A"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D555A">
        <w:rPr>
          <w:rFonts w:ascii="Times New Roman" w:hAnsi="Times New Roman" w:cs="Times New Roman"/>
          <w:sz w:val="24"/>
          <w:szCs w:val="24"/>
        </w:rPr>
        <w:t>н</w:t>
      </w:r>
      <w:r w:rsidR="0014004D">
        <w:rPr>
          <w:rFonts w:ascii="Times New Roman" w:hAnsi="Times New Roman" w:cs="Times New Roman"/>
          <w:sz w:val="24"/>
          <w:szCs w:val="24"/>
        </w:rPr>
        <w:t>еобходимо</w:t>
      </w:r>
      <w:r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предоставить</w:t>
      </w:r>
      <w:r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чертежи</w:t>
      </w:r>
      <w:r w:rsidR="001671A5"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004D">
        <w:rPr>
          <w:rFonts w:ascii="Times New Roman" w:hAnsi="Times New Roman" w:cs="Times New Roman"/>
          <w:sz w:val="24"/>
          <w:szCs w:val="24"/>
        </w:rPr>
        <w:t>паспорта</w:t>
      </w:r>
      <w:r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сертификат</w:t>
      </w:r>
      <w:r w:rsidR="0014004D">
        <w:rPr>
          <w:rFonts w:ascii="Times New Roman" w:hAnsi="Times New Roman" w:cs="Times New Roman"/>
          <w:sz w:val="24"/>
          <w:szCs w:val="24"/>
        </w:rPr>
        <w:t>ы</w:t>
      </w:r>
      <w:r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иную</w:t>
      </w:r>
      <w:r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техническую</w:t>
      </w:r>
      <w:r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документацию</w:t>
      </w:r>
      <w:r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запчасти</w:t>
      </w:r>
      <w:r w:rsidR="0014004D"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4004D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67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167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67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1671A5" w:rsidRPr="00167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data sheets</w:t>
      </w:r>
      <w:r w:rsidR="001671A5" w:rsidRPr="001671A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 xml:space="preserve"> passports, certificates and ot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her technical documentation for</w:t>
      </w:r>
      <w:r w:rsidR="0014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 w:rsidRPr="0014004D">
        <w:rPr>
          <w:rFonts w:ascii="Times New Roman" w:hAnsi="Times New Roman" w:cs="Times New Roman"/>
          <w:sz w:val="24"/>
          <w:szCs w:val="24"/>
          <w:lang w:val="en-US"/>
        </w:rPr>
        <w:t>spare parts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2BC4" w:rsidRPr="00FD2BC4" w:rsidRDefault="00FD2BC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D2B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Аналоги оборудования не рассматриваются/ </w:t>
      </w:r>
      <w:r w:rsidRPr="00FD2BC4">
        <w:rPr>
          <w:rFonts w:ascii="Times New Roman" w:hAnsi="Times New Roman" w:cs="Times New Roman"/>
          <w:sz w:val="24"/>
          <w:szCs w:val="24"/>
        </w:rPr>
        <w:t>Equipment analogues are not considered.</w:t>
      </w:r>
      <w:bookmarkStart w:id="2" w:name="_GoBack"/>
      <w:bookmarkEnd w:id="2"/>
    </w:p>
    <w:p w:rsidR="000D5005" w:rsidRPr="00FD2BC4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FD2BC4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26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26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1881"/>
    <w:rsid w:val="001821B5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EA1560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E2BFBA-4513-4663-ACFF-975F458E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27</cp:revision>
  <cp:lastPrinted>2015-04-07T13:30:00Z</cp:lastPrinted>
  <dcterms:created xsi:type="dcterms:W3CDTF">2016-11-10T08:21:00Z</dcterms:created>
  <dcterms:modified xsi:type="dcterms:W3CDTF">2019-11-12T13:15:00Z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